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B5CF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Adelanto </w:t>
      </w:r>
    </w:p>
    <w:p w:rsidR="003B5CFA" w:rsidRDefault="003B5CF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3B5CFA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B5CFA" w:rsidRPr="003B5CFA" w:rsidRDefault="003B5CFA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975F4BB" wp14:editId="14BF2411">
            <wp:extent cx="9058275" cy="61912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B5CFA" w:rsidRPr="003B5CFA" w:rsidSect="003B5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FA"/>
    <w:rsid w:val="00206930"/>
    <w:rsid w:val="003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42831-5FF7-4CAF-8510-D0C3C44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fornian FB" panose="0207040306080B030204" pitchFamily="18" charset="0"/>
                <a:ea typeface="+mn-ea"/>
                <a:cs typeface="+mn-cs"/>
              </a:defRPr>
            </a:pPr>
            <a:r>
              <a:rPr lang="en-US" i="1" baseline="0">
                <a:latin typeface="Californian FB" panose="0207040306080B030204" pitchFamily="18" charset="0"/>
              </a:rPr>
              <a:t>103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fornian FB" panose="0207040306080B0302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3</c:v>
                </c:pt>
                <c:pt idx="1">
                  <c:v>9</c:v>
                </c:pt>
                <c:pt idx="2">
                  <c:v>18</c:v>
                </c:pt>
                <c:pt idx="3">
                  <c:v>13</c:v>
                </c:pt>
                <c:pt idx="4">
                  <c:v>22</c:v>
                </c:pt>
                <c:pt idx="5">
                  <c:v>24</c:v>
                </c:pt>
                <c:pt idx="6">
                  <c:v>10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6461864"/>
        <c:axId val="426461080"/>
        <c:axId val="0"/>
      </c:bar3DChart>
      <c:catAx>
        <c:axId val="426461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461080"/>
        <c:crosses val="autoZero"/>
        <c:auto val="1"/>
        <c:lblAlgn val="ctr"/>
        <c:lblOffset val="100"/>
        <c:noMultiLvlLbl val="0"/>
      </c:catAx>
      <c:valAx>
        <c:axId val="426461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646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0.16299</cdr:x>
      <cdr:y>0.50615</cdr:y>
    </cdr:from>
    <cdr:to>
      <cdr:x>0.5531</cdr:x>
      <cdr:y>0.56615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3133725"/>
          <a:ext cx="35337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2,834</a:t>
          </a:r>
          <a:r>
            <a:rPr lang="en-US" sz="1100" baseline="0"/>
            <a:t> - Average Year Built </a:t>
          </a:r>
          <a:r>
            <a:rPr lang="en-US" sz="1100" b="1" baseline="0"/>
            <a:t>2010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0.16193</cdr:x>
      <cdr:y>0.56769</cdr:y>
    </cdr:from>
    <cdr:to>
      <cdr:x>0.60252</cdr:x>
      <cdr:y>0.61692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3514725"/>
          <a:ext cx="3990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2,406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2007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0.16193</cdr:x>
      <cdr:y>0.63077</cdr:y>
    </cdr:from>
    <cdr:to>
      <cdr:x>0.60988</cdr:x>
      <cdr:y>0.68769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3905250"/>
          <a:ext cx="40576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1,948</a:t>
          </a:r>
          <a:r>
            <a:rPr lang="en-US" sz="1100" baseline="0"/>
            <a:t> - Average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0.16299</cdr:x>
      <cdr:y>0.69385</cdr:y>
    </cdr:from>
    <cdr:to>
      <cdr:x>0.63197</cdr:x>
      <cdr:y>0.75538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295775"/>
          <a:ext cx="42481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1,666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0.16299</cdr:x>
      <cdr:y>0.75538</cdr:y>
    </cdr:from>
    <cdr:to>
      <cdr:x>0.51314</cdr:x>
      <cdr:y>0.81231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676775"/>
          <a:ext cx="31718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1,303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0.16193</cdr:x>
      <cdr:y>0.81846</cdr:y>
    </cdr:from>
    <cdr:to>
      <cdr:x>0.5184</cdr:x>
      <cdr:y>0.87846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5067300"/>
          <a:ext cx="32289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1,289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0.16299</cdr:x>
      <cdr:y>0.88</cdr:y>
    </cdr:from>
    <cdr:to>
      <cdr:x>0.49211</cdr:x>
      <cdr:y>0.93692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448300"/>
          <a:ext cx="29813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1,101</a:t>
          </a:r>
          <a:r>
            <a:rPr lang="en-US" sz="1100" baseline="0"/>
            <a:t> - Average Year Built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0.16193</cdr:x>
      <cdr:y>0.94154</cdr:y>
    </cdr:from>
    <cdr:to>
      <cdr:x>0.5163</cdr:x>
      <cdr:y>0.99538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5829300"/>
          <a:ext cx="32099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1,025</a:t>
          </a:r>
          <a:r>
            <a:rPr lang="en-US" sz="1100"/>
            <a:t> - Average Year Built </a:t>
          </a:r>
          <a:r>
            <a:rPr lang="en-US" sz="1100" b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2018-04-18T16:58:00Z</dcterms:created>
  <dcterms:modified xsi:type="dcterms:W3CDTF">2018-04-18T17:05:00Z</dcterms:modified>
</cp:coreProperties>
</file>